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0CE2" w14:textId="69DBE77B" w:rsidR="007F3757" w:rsidRPr="007A0166" w:rsidRDefault="00B25102" w:rsidP="00AD278C">
      <w:pPr>
        <w:spacing w:before="240" w:line="276" w:lineRule="auto"/>
        <w:jc w:val="center"/>
        <w:rPr>
          <w:rFonts w:ascii="Segoe UI" w:hAnsi="Segoe UI" w:cs="Segoe UI"/>
          <w:b/>
          <w:bCs/>
          <w:color w:val="595959" w:themeColor="text1" w:themeTint="A6"/>
          <w:sz w:val="36"/>
          <w:szCs w:val="36"/>
        </w:rPr>
      </w:pPr>
      <w:r w:rsidRPr="007A0166">
        <w:rPr>
          <w:rFonts w:ascii="Segoe UI" w:hAnsi="Segoe UI" w:cs="Segoe UI"/>
          <w:b/>
          <w:bCs/>
          <w:color w:val="595959" w:themeColor="text1" w:themeTint="A6"/>
          <w:sz w:val="36"/>
          <w:szCs w:val="36"/>
        </w:rPr>
        <w:t>CAREER TRANSITION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432"/>
      </w:tblGrid>
      <w:tr w:rsidR="00105376" w:rsidRPr="00105376" w14:paraId="376F463D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6E6518A4" w14:textId="77777777" w:rsidR="00105376" w:rsidRPr="007A016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1. Self-Assessment:</w:t>
            </w:r>
          </w:p>
        </w:tc>
      </w:tr>
      <w:tr w:rsidR="00105376" w:rsidRPr="00105376" w14:paraId="1909F8DF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2E652F9" w14:textId="77777777" w:rsidR="00105376" w:rsidRPr="00105376" w:rsidRDefault="00105376" w:rsidP="0010537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Identify your skills, strengths, and areas for improvement.</w:t>
            </w:r>
          </w:p>
        </w:tc>
      </w:tr>
      <w:tr w:rsidR="00105376" w:rsidRPr="00105376" w14:paraId="5F7CB3E0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2E9D3165" w14:textId="77777777" w:rsidR="00105376" w:rsidRPr="00105376" w:rsidRDefault="00105376" w:rsidP="0010537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Evaluate your interests, passions, and values to align with potential career options.</w:t>
            </w:r>
          </w:p>
        </w:tc>
      </w:tr>
      <w:tr w:rsidR="00105376" w:rsidRPr="00105376" w14:paraId="7692A640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E0D7D74" w14:textId="77777777" w:rsidR="00105376" w:rsidRPr="00105376" w:rsidRDefault="00105376" w:rsidP="0010537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Consider your personal and financial circumstances to set realistic goals.</w:t>
            </w:r>
          </w:p>
        </w:tc>
      </w:tr>
      <w:tr w:rsidR="00105376" w:rsidRPr="00105376" w14:paraId="03B76D2B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7300E0A7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2. Research and Exploration:</w:t>
            </w:r>
          </w:p>
        </w:tc>
      </w:tr>
      <w:tr w:rsidR="00105376" w:rsidRPr="00105376" w14:paraId="724593A6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2EE3BFE5" w14:textId="77777777" w:rsidR="00105376" w:rsidRPr="00105376" w:rsidRDefault="00105376" w:rsidP="001053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Investigate potential career paths based on your self-assessment.</w:t>
            </w:r>
          </w:p>
        </w:tc>
      </w:tr>
      <w:tr w:rsidR="00105376" w:rsidRPr="00105376" w14:paraId="56E5FF07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23E30E0" w14:textId="77777777" w:rsidR="00105376" w:rsidRPr="00105376" w:rsidRDefault="00105376" w:rsidP="001053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Gather information about industries, job roles, and market demand.</w:t>
            </w:r>
          </w:p>
        </w:tc>
      </w:tr>
      <w:tr w:rsidR="00105376" w:rsidRPr="00105376" w14:paraId="4BAADDAA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5075A0E9" w14:textId="77777777" w:rsidR="00105376" w:rsidRPr="00105376" w:rsidRDefault="00105376" w:rsidP="0010537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Conduct informational interviews with professionals in your target industries.</w:t>
            </w:r>
          </w:p>
        </w:tc>
      </w:tr>
      <w:tr w:rsidR="00105376" w:rsidRPr="00105376" w14:paraId="1B2DDA2F" w14:textId="77777777" w:rsidTr="008932EA">
        <w:trPr>
          <w:trHeight w:val="737"/>
        </w:trPr>
        <w:tc>
          <w:tcPr>
            <w:tcW w:w="10682" w:type="dxa"/>
            <w:gridSpan w:val="2"/>
            <w:vAlign w:val="center"/>
          </w:tcPr>
          <w:p w14:paraId="7506A67C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3. Goal Setting:</w:t>
            </w:r>
          </w:p>
        </w:tc>
      </w:tr>
      <w:tr w:rsidR="00105376" w:rsidRPr="00105376" w14:paraId="3B1FED18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9180FB8" w14:textId="77777777" w:rsidR="00105376" w:rsidRPr="00105376" w:rsidRDefault="00105376" w:rsidP="001053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Define your short-term and long-term career goals.</w:t>
            </w:r>
          </w:p>
        </w:tc>
      </w:tr>
      <w:tr w:rsidR="00105376" w:rsidRPr="00105376" w14:paraId="33CC6AB5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52D79719" w14:textId="77777777" w:rsidR="00105376" w:rsidRPr="00105376" w:rsidRDefault="00105376" w:rsidP="001053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Make your goals Specific, Measurable, Achievable, Relevant, and Time-bound (SMART).</w:t>
            </w:r>
          </w:p>
        </w:tc>
      </w:tr>
      <w:tr w:rsidR="00105376" w:rsidRPr="00105376" w14:paraId="102FEC9F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4266650" w14:textId="77777777" w:rsidR="00105376" w:rsidRPr="00105376" w:rsidRDefault="00105376" w:rsidP="001053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Prioritize and set milestones to track progress.</w:t>
            </w:r>
          </w:p>
        </w:tc>
      </w:tr>
      <w:tr w:rsidR="00105376" w:rsidRPr="00105376" w14:paraId="111B6BFD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19955646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4. Skill Gap Analysis:</w:t>
            </w:r>
          </w:p>
        </w:tc>
      </w:tr>
      <w:tr w:rsidR="00105376" w:rsidRPr="00105376" w14:paraId="7F9DC74A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40A70FF" w14:textId="77777777" w:rsidR="00105376" w:rsidRPr="00105376" w:rsidRDefault="00105376" w:rsidP="001053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Identify the skills required for your desired career.</w:t>
            </w:r>
          </w:p>
        </w:tc>
      </w:tr>
      <w:tr w:rsidR="00105376" w:rsidRPr="00105376" w14:paraId="2FD862CA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2F36E39" w14:textId="77777777" w:rsidR="00105376" w:rsidRPr="00105376" w:rsidRDefault="00105376" w:rsidP="001053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Compare your current skill set with the desired skills.</w:t>
            </w:r>
          </w:p>
        </w:tc>
      </w:tr>
      <w:tr w:rsidR="00105376" w:rsidRPr="00105376" w14:paraId="4E4280C5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B52B04F" w14:textId="77777777" w:rsidR="00105376" w:rsidRPr="00105376" w:rsidRDefault="00105376" w:rsidP="0010537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Create a plan to acquire or enhance the necessary skills through training, courses, or certifications.</w:t>
            </w:r>
          </w:p>
        </w:tc>
      </w:tr>
      <w:tr w:rsidR="00105376" w:rsidRPr="00105376" w14:paraId="4D011995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6852D6A3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5. Networking:</w:t>
            </w:r>
          </w:p>
        </w:tc>
      </w:tr>
      <w:tr w:rsidR="00105376" w:rsidRPr="00105376" w14:paraId="1F2C30E9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E3F5853" w14:textId="77777777" w:rsidR="00105376" w:rsidRPr="00105376" w:rsidRDefault="00105376" w:rsidP="001053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Build a professional network by connecting with individuals in your target industry.</w:t>
            </w:r>
          </w:p>
        </w:tc>
      </w:tr>
      <w:tr w:rsidR="00105376" w:rsidRPr="00105376" w14:paraId="7818943B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D5D1C6E" w14:textId="77777777" w:rsidR="00105376" w:rsidRPr="00105376" w:rsidRDefault="00105376" w:rsidP="001053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Attend industry events, seminars, and workshops to expand your connections.</w:t>
            </w:r>
          </w:p>
        </w:tc>
      </w:tr>
      <w:tr w:rsidR="00105376" w:rsidRPr="00105376" w14:paraId="098670E2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1FB8767" w14:textId="77777777" w:rsidR="00105376" w:rsidRPr="00105376" w:rsidRDefault="00105376" w:rsidP="001053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Utilize online platforms like LinkedIn to engage with professionals in your field.</w:t>
            </w:r>
          </w:p>
        </w:tc>
      </w:tr>
      <w:tr w:rsidR="00105376" w:rsidRPr="00105376" w14:paraId="30D170EE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05A54840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6. Resume and Cover Letter Preparation:</w:t>
            </w:r>
          </w:p>
        </w:tc>
      </w:tr>
      <w:tr w:rsidR="00105376" w:rsidRPr="00105376" w14:paraId="3027058A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DE61E58" w14:textId="77777777" w:rsidR="00105376" w:rsidRPr="00105376" w:rsidRDefault="00105376" w:rsidP="0010537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Update your resume to highlight relevant skills and experiences.</w:t>
            </w:r>
          </w:p>
        </w:tc>
      </w:tr>
      <w:tr w:rsidR="00105376" w:rsidRPr="00105376" w14:paraId="45AA7D90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40C4471" w14:textId="77777777" w:rsidR="00105376" w:rsidRPr="00105376" w:rsidRDefault="00105376" w:rsidP="0010537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Tailor your cover letter for each application to showcase your enthusiasm and suitability.</w:t>
            </w:r>
          </w:p>
        </w:tc>
      </w:tr>
      <w:tr w:rsidR="008932EA" w:rsidRPr="00105376" w14:paraId="3C84302F" w14:textId="77777777" w:rsidTr="008932EA">
        <w:trPr>
          <w:trHeight w:val="340"/>
        </w:trPr>
        <w:tc>
          <w:tcPr>
            <w:tcW w:w="10682" w:type="dxa"/>
            <w:gridSpan w:val="2"/>
            <w:vAlign w:val="center"/>
          </w:tcPr>
          <w:p w14:paraId="36322362" w14:textId="77777777" w:rsidR="008932EA" w:rsidRPr="008932EA" w:rsidRDefault="008932EA" w:rsidP="008932E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932EA" w:rsidRPr="00105376" w14:paraId="02B11406" w14:textId="77777777" w:rsidTr="008932EA">
        <w:trPr>
          <w:trHeight w:val="340"/>
        </w:trPr>
        <w:tc>
          <w:tcPr>
            <w:tcW w:w="10682" w:type="dxa"/>
            <w:gridSpan w:val="2"/>
            <w:vAlign w:val="center"/>
          </w:tcPr>
          <w:p w14:paraId="7375A112" w14:textId="77777777" w:rsidR="008932EA" w:rsidRPr="008932EA" w:rsidRDefault="008932EA" w:rsidP="008932E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05376" w:rsidRPr="00105376" w14:paraId="697AA8E7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389FE756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lastRenderedPageBreak/>
              <w:t>7. Job Search Strategies:</w:t>
            </w:r>
          </w:p>
        </w:tc>
      </w:tr>
      <w:tr w:rsidR="00105376" w:rsidRPr="00105376" w14:paraId="42EB9329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21AE9DE1" w14:textId="79E56852" w:rsidR="00105376" w:rsidRPr="00105376" w:rsidRDefault="00105376" w:rsidP="0010537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 xml:space="preserve">Develop a job search strategy </w:t>
            </w:r>
            <w:r w:rsidRPr="00105376">
              <w:rPr>
                <w:rFonts w:ascii="Segoe UI" w:hAnsi="Segoe UI" w:cs="Segoe UI"/>
                <w:sz w:val="24"/>
                <w:szCs w:val="24"/>
                <w:lang w:val="en-US"/>
              </w:rPr>
              <w:t>i.e.,</w:t>
            </w:r>
            <w:r w:rsidRPr="00105376">
              <w:rPr>
                <w:rFonts w:ascii="Segoe UI" w:hAnsi="Segoe UI" w:cs="Segoe UI"/>
                <w:sz w:val="24"/>
                <w:szCs w:val="24"/>
              </w:rPr>
              <w:t xml:space="preserve"> online job boards, company websites, </w:t>
            </w:r>
            <w:r w:rsidRPr="00105376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&amp; </w:t>
            </w:r>
            <w:r w:rsidRPr="00105376">
              <w:rPr>
                <w:rFonts w:ascii="Segoe UI" w:hAnsi="Segoe UI" w:cs="Segoe UI"/>
                <w:sz w:val="24"/>
                <w:szCs w:val="24"/>
              </w:rPr>
              <w:t>networking contacts.</w:t>
            </w:r>
          </w:p>
        </w:tc>
      </w:tr>
      <w:tr w:rsidR="00105376" w:rsidRPr="00105376" w14:paraId="65213BE6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2795E3D" w14:textId="77777777" w:rsidR="00105376" w:rsidRPr="00105376" w:rsidRDefault="00105376" w:rsidP="0010537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Regularly monitor job postings and industry trends.</w:t>
            </w:r>
          </w:p>
        </w:tc>
      </w:tr>
      <w:tr w:rsidR="00105376" w:rsidRPr="00105376" w14:paraId="7A2BC3FE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4703DC6B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8. Interview Preparation:</w:t>
            </w:r>
          </w:p>
        </w:tc>
      </w:tr>
      <w:tr w:rsidR="00105376" w:rsidRPr="00105376" w14:paraId="484B117B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C0AE047" w14:textId="77777777" w:rsidR="00105376" w:rsidRPr="00105376" w:rsidRDefault="00105376" w:rsidP="001053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Research common interview questions for your chosen field.</w:t>
            </w:r>
          </w:p>
        </w:tc>
      </w:tr>
      <w:tr w:rsidR="00105376" w:rsidRPr="00105376" w14:paraId="7A744747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2EA881C" w14:textId="77777777" w:rsidR="00105376" w:rsidRPr="00105376" w:rsidRDefault="00105376" w:rsidP="001053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Practice your responses and refine your interview skills.</w:t>
            </w:r>
          </w:p>
        </w:tc>
      </w:tr>
      <w:tr w:rsidR="00105376" w:rsidRPr="00105376" w14:paraId="67F20081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59DF55F8" w14:textId="77777777" w:rsidR="00105376" w:rsidRPr="00105376" w:rsidRDefault="00105376" w:rsidP="001053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Prepare questions to ask the interviewer.</w:t>
            </w:r>
          </w:p>
        </w:tc>
      </w:tr>
      <w:tr w:rsidR="00105376" w:rsidRPr="00105376" w14:paraId="074EF74B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4A0A46E7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9. Mentoring and Coaching:</w:t>
            </w:r>
          </w:p>
        </w:tc>
      </w:tr>
      <w:tr w:rsidR="00105376" w:rsidRPr="00105376" w14:paraId="5481F69C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B71B6E2" w14:textId="77777777" w:rsidR="00105376" w:rsidRPr="00105376" w:rsidRDefault="00105376" w:rsidP="0010537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Seek guidance from mentors or career coaches who have experience in your target industry.</w:t>
            </w:r>
          </w:p>
        </w:tc>
      </w:tr>
      <w:tr w:rsidR="00105376" w:rsidRPr="00105376" w14:paraId="2E76AC4C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8DE97EA" w14:textId="77777777" w:rsidR="00105376" w:rsidRPr="00105376" w:rsidRDefault="00105376" w:rsidP="0010537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Discuss challenges and seek advice on navigating the career transition process.</w:t>
            </w:r>
          </w:p>
        </w:tc>
      </w:tr>
      <w:tr w:rsidR="00105376" w:rsidRPr="00105376" w14:paraId="77430C89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19BCB39B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10. Financial Planning:</w:t>
            </w:r>
          </w:p>
        </w:tc>
      </w:tr>
      <w:tr w:rsidR="00105376" w:rsidRPr="00105376" w14:paraId="0447431C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6244CBB1" w14:textId="77777777" w:rsidR="00105376" w:rsidRPr="00105376" w:rsidRDefault="00105376" w:rsidP="0010537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Assess the financial impact of the career transition.</w:t>
            </w:r>
          </w:p>
        </w:tc>
      </w:tr>
      <w:tr w:rsidR="00105376" w:rsidRPr="00105376" w14:paraId="678C1FA8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CE63BAD" w14:textId="77777777" w:rsidR="00105376" w:rsidRPr="00105376" w:rsidRDefault="00105376" w:rsidP="0010537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Budget for potential changes in income and expenses during the transition period.</w:t>
            </w:r>
          </w:p>
        </w:tc>
      </w:tr>
      <w:tr w:rsidR="00105376" w:rsidRPr="00105376" w14:paraId="00000836" w14:textId="77777777" w:rsidTr="008932EA">
        <w:trPr>
          <w:trHeight w:val="680"/>
        </w:trPr>
        <w:tc>
          <w:tcPr>
            <w:tcW w:w="10682" w:type="dxa"/>
            <w:gridSpan w:val="2"/>
            <w:vAlign w:val="center"/>
          </w:tcPr>
          <w:p w14:paraId="05A758A3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11. Emotional Support:</w:t>
            </w:r>
          </w:p>
        </w:tc>
      </w:tr>
      <w:tr w:rsidR="00105376" w:rsidRPr="00105376" w14:paraId="04AE9CE8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1C47AC6D" w14:textId="77777777" w:rsidR="00105376" w:rsidRPr="00105376" w:rsidRDefault="00105376" w:rsidP="0010537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Seek emotional support from friends, family, or support groups.</w:t>
            </w:r>
          </w:p>
        </w:tc>
      </w:tr>
      <w:tr w:rsidR="00105376" w:rsidRPr="00105376" w14:paraId="00CF813B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39C6203C" w14:textId="77777777" w:rsidR="00105376" w:rsidRPr="00105376" w:rsidRDefault="00105376" w:rsidP="0010537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Managing a career transition can be challenging, so having a strong support system is essential.</w:t>
            </w:r>
          </w:p>
        </w:tc>
      </w:tr>
      <w:tr w:rsidR="00105376" w:rsidRPr="00105376" w14:paraId="38DEC4DC" w14:textId="77777777" w:rsidTr="005C1EC2">
        <w:trPr>
          <w:trHeight w:val="680"/>
        </w:trPr>
        <w:tc>
          <w:tcPr>
            <w:tcW w:w="10682" w:type="dxa"/>
            <w:gridSpan w:val="2"/>
            <w:vAlign w:val="center"/>
          </w:tcPr>
          <w:p w14:paraId="339D6956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12. Flexibility and Adaptability:</w:t>
            </w:r>
          </w:p>
        </w:tc>
      </w:tr>
      <w:tr w:rsidR="00105376" w:rsidRPr="00105376" w14:paraId="22DC7B1E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55330F3D" w14:textId="77777777" w:rsidR="00105376" w:rsidRPr="00105376" w:rsidRDefault="00105376" w:rsidP="0010537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Stay open to new opportunities and be prepared to adapt your plan as needed.</w:t>
            </w:r>
          </w:p>
        </w:tc>
      </w:tr>
      <w:tr w:rsidR="00105376" w:rsidRPr="00105376" w14:paraId="6A781D1C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F6BED36" w14:textId="77777777" w:rsidR="00105376" w:rsidRPr="00105376" w:rsidRDefault="00105376" w:rsidP="0010537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Embrace the learning curve and view setbacks as opportunities for growth.</w:t>
            </w:r>
          </w:p>
        </w:tc>
      </w:tr>
      <w:tr w:rsidR="00105376" w:rsidRPr="00105376" w14:paraId="66952283" w14:textId="77777777" w:rsidTr="005C1EC2">
        <w:trPr>
          <w:trHeight w:val="680"/>
        </w:trPr>
        <w:tc>
          <w:tcPr>
            <w:tcW w:w="10682" w:type="dxa"/>
            <w:gridSpan w:val="2"/>
            <w:vAlign w:val="center"/>
          </w:tcPr>
          <w:p w14:paraId="1D01BBFA" w14:textId="77777777" w:rsidR="00105376" w:rsidRPr="00105376" w:rsidRDefault="00105376" w:rsidP="0010537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A0166">
              <w:rPr>
                <w:rFonts w:ascii="Segoe UI" w:hAnsi="Segoe UI" w:cs="Segoe UI"/>
                <w:b/>
                <w:bCs/>
                <w:color w:val="1995AD"/>
                <w:sz w:val="24"/>
                <w:szCs w:val="24"/>
              </w:rPr>
              <w:t>13. Track and Evaluate Progress:</w:t>
            </w:r>
          </w:p>
        </w:tc>
      </w:tr>
      <w:tr w:rsidR="00105376" w:rsidRPr="00105376" w14:paraId="4C1B6619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0259DA61" w14:textId="77777777" w:rsidR="00105376" w:rsidRPr="00105376" w:rsidRDefault="00105376" w:rsidP="0010537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Monitor your progress regularly against the set milestones and goals.</w:t>
            </w:r>
          </w:p>
        </w:tc>
      </w:tr>
      <w:tr w:rsidR="00105376" w:rsidRPr="00105376" w14:paraId="7C031B21" w14:textId="77777777" w:rsidTr="005C1EC2">
        <w:trPr>
          <w:gridBefore w:val="1"/>
          <w:wBefore w:w="250" w:type="dxa"/>
          <w:trHeight w:val="510"/>
        </w:trPr>
        <w:tc>
          <w:tcPr>
            <w:tcW w:w="104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5228A307" w14:textId="5E9AD4F8" w:rsidR="00105376" w:rsidRPr="00105376" w:rsidRDefault="00105376" w:rsidP="0010537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5376">
              <w:rPr>
                <w:rFonts w:ascii="Segoe UI" w:hAnsi="Segoe UI" w:cs="Segoe UI"/>
                <w:sz w:val="24"/>
                <w:szCs w:val="24"/>
              </w:rPr>
              <w:t>Adjust your plan, if necessary, based on the outcomes.</w:t>
            </w:r>
          </w:p>
        </w:tc>
      </w:tr>
    </w:tbl>
    <w:p w14:paraId="09B94443" w14:textId="3D75E1D2" w:rsidR="00537634" w:rsidRPr="00105376" w:rsidRDefault="00537634" w:rsidP="00105376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sectPr w:rsidR="00537634" w:rsidRPr="00105376" w:rsidSect="00120B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D727" w14:textId="77777777" w:rsidR="00EE2B6F" w:rsidRDefault="00EE2B6F" w:rsidP="008932EA">
      <w:pPr>
        <w:spacing w:after="0" w:line="240" w:lineRule="auto"/>
      </w:pPr>
      <w:r>
        <w:separator/>
      </w:r>
    </w:p>
  </w:endnote>
  <w:endnote w:type="continuationSeparator" w:id="0">
    <w:p w14:paraId="29B19555" w14:textId="77777777" w:rsidR="00EE2B6F" w:rsidRDefault="00EE2B6F" w:rsidP="008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D04C" w14:textId="50331A34" w:rsidR="008932EA" w:rsidRDefault="008932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12304" wp14:editId="044CEB15">
          <wp:simplePos x="0" y="0"/>
          <wp:positionH relativeFrom="column">
            <wp:posOffset>-66675</wp:posOffset>
          </wp:positionH>
          <wp:positionV relativeFrom="paragraph">
            <wp:posOffset>-3810</wp:posOffset>
          </wp:positionV>
          <wp:extent cx="849551" cy="288000"/>
          <wp:effectExtent l="0" t="0" r="0" b="0"/>
          <wp:wrapNone/>
          <wp:docPr id="161821181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21181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9F93" w14:textId="77777777" w:rsidR="00EE2B6F" w:rsidRDefault="00EE2B6F" w:rsidP="008932EA">
      <w:pPr>
        <w:spacing w:after="0" w:line="240" w:lineRule="auto"/>
      </w:pPr>
      <w:r>
        <w:separator/>
      </w:r>
    </w:p>
  </w:footnote>
  <w:footnote w:type="continuationSeparator" w:id="0">
    <w:p w14:paraId="293A0D8A" w14:textId="77777777" w:rsidR="00EE2B6F" w:rsidRDefault="00EE2B6F" w:rsidP="0089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5C"/>
    <w:multiLevelType w:val="hybridMultilevel"/>
    <w:tmpl w:val="AC1C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55E2"/>
    <w:multiLevelType w:val="hybridMultilevel"/>
    <w:tmpl w:val="F280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967"/>
    <w:multiLevelType w:val="hybridMultilevel"/>
    <w:tmpl w:val="590E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653"/>
    <w:multiLevelType w:val="hybridMultilevel"/>
    <w:tmpl w:val="52B6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32A"/>
    <w:multiLevelType w:val="hybridMultilevel"/>
    <w:tmpl w:val="BF3C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310F0"/>
    <w:multiLevelType w:val="hybridMultilevel"/>
    <w:tmpl w:val="DF3E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A7608"/>
    <w:multiLevelType w:val="hybridMultilevel"/>
    <w:tmpl w:val="D0A6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603A6"/>
    <w:multiLevelType w:val="hybridMultilevel"/>
    <w:tmpl w:val="4B36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2A50"/>
    <w:multiLevelType w:val="hybridMultilevel"/>
    <w:tmpl w:val="E598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7B82"/>
    <w:multiLevelType w:val="hybridMultilevel"/>
    <w:tmpl w:val="0630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10B53"/>
    <w:multiLevelType w:val="hybridMultilevel"/>
    <w:tmpl w:val="4F1C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523"/>
    <w:multiLevelType w:val="hybridMultilevel"/>
    <w:tmpl w:val="9420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E24D4"/>
    <w:multiLevelType w:val="hybridMultilevel"/>
    <w:tmpl w:val="44F8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067226">
    <w:abstractNumId w:val="1"/>
  </w:num>
  <w:num w:numId="2" w16cid:durableId="514921639">
    <w:abstractNumId w:val="11"/>
  </w:num>
  <w:num w:numId="3" w16cid:durableId="1855262606">
    <w:abstractNumId w:val="12"/>
  </w:num>
  <w:num w:numId="4" w16cid:durableId="669672736">
    <w:abstractNumId w:val="9"/>
  </w:num>
  <w:num w:numId="5" w16cid:durableId="794298890">
    <w:abstractNumId w:val="6"/>
  </w:num>
  <w:num w:numId="6" w16cid:durableId="86776010">
    <w:abstractNumId w:val="4"/>
  </w:num>
  <w:num w:numId="7" w16cid:durableId="303393163">
    <w:abstractNumId w:val="5"/>
  </w:num>
  <w:num w:numId="8" w16cid:durableId="1915160529">
    <w:abstractNumId w:val="0"/>
  </w:num>
  <w:num w:numId="9" w16cid:durableId="1290043168">
    <w:abstractNumId w:val="8"/>
  </w:num>
  <w:num w:numId="10" w16cid:durableId="990866661">
    <w:abstractNumId w:val="7"/>
  </w:num>
  <w:num w:numId="11" w16cid:durableId="464540998">
    <w:abstractNumId w:val="2"/>
  </w:num>
  <w:num w:numId="12" w16cid:durableId="334570974">
    <w:abstractNumId w:val="10"/>
  </w:num>
  <w:num w:numId="13" w16cid:durableId="1577397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757"/>
    <w:rsid w:val="00105376"/>
    <w:rsid w:val="00120BAE"/>
    <w:rsid w:val="00502DE8"/>
    <w:rsid w:val="00537634"/>
    <w:rsid w:val="005C1EC2"/>
    <w:rsid w:val="00722792"/>
    <w:rsid w:val="007A0166"/>
    <w:rsid w:val="007F3757"/>
    <w:rsid w:val="008932EA"/>
    <w:rsid w:val="00AD278C"/>
    <w:rsid w:val="00B118AC"/>
    <w:rsid w:val="00B25102"/>
    <w:rsid w:val="00E26A8C"/>
    <w:rsid w:val="00E45373"/>
    <w:rsid w:val="00EA4E7E"/>
    <w:rsid w:val="00EE2B6F"/>
    <w:rsid w:val="00F13EF4"/>
    <w:rsid w:val="00F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5E0D1"/>
  <w15:chartTrackingRefBased/>
  <w15:docId w15:val="{FF46E19B-192F-4EFF-86C9-775EB39C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E8"/>
    <w:pPr>
      <w:ind w:left="720"/>
      <w:contextualSpacing/>
    </w:pPr>
  </w:style>
  <w:style w:type="table" w:styleId="TableGrid">
    <w:name w:val="Table Grid"/>
    <w:basedOn w:val="TableNormal"/>
    <w:uiPriority w:val="39"/>
    <w:rsid w:val="0010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EA"/>
  </w:style>
  <w:style w:type="paragraph" w:styleId="Footer">
    <w:name w:val="footer"/>
    <w:basedOn w:val="Normal"/>
    <w:link w:val="FooterChar"/>
    <w:uiPriority w:val="99"/>
    <w:unhideWhenUsed/>
    <w:rsid w:val="00893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17</cp:revision>
  <dcterms:created xsi:type="dcterms:W3CDTF">2023-07-26T05:06:00Z</dcterms:created>
  <dcterms:modified xsi:type="dcterms:W3CDTF">2023-09-25T10:45:00Z</dcterms:modified>
</cp:coreProperties>
</file>